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A747" w14:textId="77777777" w:rsidR="001A441F" w:rsidRDefault="001A441F" w:rsidP="003D7D9F"/>
    <w:p w14:paraId="3128DE8B" w14:textId="77777777" w:rsidR="001A441F" w:rsidRDefault="001A441F" w:rsidP="001A441F">
      <w:pPr>
        <w:rPr>
          <w:rFonts w:ascii="Calibri" w:eastAsia="Times New Roman" w:hAnsi="Calibri" w:cs="Calibri"/>
          <w:color w:val="000000"/>
          <w:sz w:val="28"/>
          <w:szCs w:val="28"/>
        </w:rPr>
      </w:pPr>
      <w:r>
        <w:rPr>
          <w:rFonts w:ascii="Calibri" w:eastAsia="Times New Roman" w:hAnsi="Calibri" w:cs="Calibri"/>
          <w:noProof/>
          <w:color w:val="000000"/>
          <w:sz w:val="28"/>
          <w:szCs w:val="28"/>
        </w:rPr>
        <w:drawing>
          <wp:inline distT="0" distB="0" distL="0" distR="0" wp14:anchorId="38C10E58" wp14:editId="61502234">
            <wp:extent cx="1778000" cy="623250"/>
            <wp:effectExtent l="0" t="0" r="0" b="0"/>
            <wp:docPr id="247145237"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5237" name="Picture 1" descr="A black and red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2976" cy="653037"/>
                    </a:xfrm>
                    <a:prstGeom prst="rect">
                      <a:avLst/>
                    </a:prstGeom>
                  </pic:spPr>
                </pic:pic>
              </a:graphicData>
            </a:graphic>
          </wp:inline>
        </w:drawing>
      </w:r>
    </w:p>
    <w:p w14:paraId="59ED3E07" w14:textId="77777777" w:rsidR="001A441F" w:rsidRPr="00A55E9C" w:rsidRDefault="001A441F" w:rsidP="001A441F">
      <w:pPr>
        <w:pStyle w:val="NoSpacing"/>
      </w:pPr>
    </w:p>
    <w:p w14:paraId="7D718BC6" w14:textId="77777777" w:rsidR="001A441F" w:rsidRPr="0044416E" w:rsidRDefault="001A441F" w:rsidP="001A441F">
      <w:pPr>
        <w:pStyle w:val="NoSpacing"/>
        <w:rPr>
          <w:rFonts w:ascii="Aptos" w:hAnsi="Aptos"/>
          <w:sz w:val="20"/>
          <w:szCs w:val="20"/>
        </w:rPr>
      </w:pPr>
      <w:r w:rsidRPr="0044416E">
        <w:rPr>
          <w:rFonts w:ascii="Aptos" w:hAnsi="Aptos"/>
          <w:sz w:val="20"/>
          <w:szCs w:val="20"/>
        </w:rPr>
        <w:t>FOR IMMEDIATE RELEASE</w:t>
      </w:r>
      <w:r w:rsidRPr="0044416E">
        <w:rPr>
          <w:rFonts w:ascii="Aptos" w:hAnsi="Aptos"/>
          <w:sz w:val="20"/>
          <w:szCs w:val="20"/>
        </w:rPr>
        <w:tab/>
      </w:r>
    </w:p>
    <w:p w14:paraId="080C2717" w14:textId="0F7BC912" w:rsidR="001A441F" w:rsidRPr="005E2935" w:rsidRDefault="00F96132" w:rsidP="001A441F">
      <w:pPr>
        <w:pStyle w:val="NoSpacing"/>
        <w:rPr>
          <w:rFonts w:ascii="Aptos" w:hAnsi="Aptos"/>
        </w:rPr>
      </w:pPr>
      <w:r>
        <w:rPr>
          <w:rFonts w:ascii="Aptos" w:hAnsi="Aptos"/>
          <w:sz w:val="20"/>
          <w:szCs w:val="20"/>
        </w:rPr>
        <w:t xml:space="preserve">January </w:t>
      </w:r>
      <w:r w:rsidR="00AC50E0">
        <w:rPr>
          <w:rFonts w:ascii="Aptos" w:hAnsi="Aptos"/>
          <w:sz w:val="20"/>
          <w:szCs w:val="20"/>
        </w:rPr>
        <w:t>18</w:t>
      </w:r>
      <w:r>
        <w:rPr>
          <w:rFonts w:ascii="Aptos" w:hAnsi="Aptos"/>
          <w:sz w:val="20"/>
          <w:szCs w:val="20"/>
        </w:rPr>
        <w:t>, 2025</w:t>
      </w:r>
      <w:r w:rsidR="001A441F" w:rsidRPr="005E2935">
        <w:rPr>
          <w:rFonts w:ascii="Aptos" w:hAnsi="Aptos"/>
        </w:rPr>
        <w:tab/>
      </w:r>
      <w:r w:rsidR="001A441F" w:rsidRPr="005E2935">
        <w:rPr>
          <w:rFonts w:ascii="Aptos" w:hAnsi="Aptos"/>
        </w:rPr>
        <w:tab/>
      </w:r>
      <w:r w:rsidR="001A441F" w:rsidRPr="005E2935">
        <w:rPr>
          <w:rFonts w:ascii="Aptos" w:hAnsi="Aptos"/>
        </w:rPr>
        <w:tab/>
        <w:t xml:space="preserve">    </w:t>
      </w:r>
      <w:r w:rsidR="001A441F" w:rsidRPr="005E2935">
        <w:rPr>
          <w:rFonts w:ascii="Aptos" w:hAnsi="Aptos"/>
        </w:rPr>
        <w:tab/>
        <w:t xml:space="preserve">        </w:t>
      </w:r>
    </w:p>
    <w:p w14:paraId="55445015" w14:textId="77777777" w:rsidR="001A441F" w:rsidRPr="005E2935" w:rsidRDefault="001A441F" w:rsidP="001A441F">
      <w:pPr>
        <w:pStyle w:val="NoSpacing"/>
        <w:rPr>
          <w:rFonts w:ascii="Aptos" w:hAnsi="Aptos"/>
        </w:rPr>
      </w:pPr>
    </w:p>
    <w:p w14:paraId="67DF19B9" w14:textId="77777777" w:rsidR="0044416E" w:rsidRDefault="0044416E" w:rsidP="00E52C23">
      <w:pPr>
        <w:jc w:val="center"/>
        <w:rPr>
          <w:b/>
          <w:bCs/>
          <w:sz w:val="22"/>
          <w:szCs w:val="22"/>
        </w:rPr>
      </w:pPr>
    </w:p>
    <w:p w14:paraId="4C5C476F" w14:textId="03B47A1A" w:rsidR="001A441F" w:rsidRPr="0044416E" w:rsidRDefault="000477DF" w:rsidP="00E52C23">
      <w:pPr>
        <w:jc w:val="center"/>
        <w:rPr>
          <w:b/>
          <w:bCs/>
          <w:sz w:val="22"/>
          <w:szCs w:val="22"/>
        </w:rPr>
      </w:pPr>
      <w:r w:rsidRPr="0044416E">
        <w:rPr>
          <w:b/>
          <w:bCs/>
          <w:sz w:val="22"/>
          <w:szCs w:val="22"/>
        </w:rPr>
        <w:t xml:space="preserve">VIVENT HEALTH + TPAN </w:t>
      </w:r>
      <w:r w:rsidR="00B03559" w:rsidRPr="0044416E">
        <w:rPr>
          <w:b/>
          <w:bCs/>
          <w:sz w:val="22"/>
          <w:szCs w:val="22"/>
        </w:rPr>
        <w:t>RECEIVES</w:t>
      </w:r>
      <w:r w:rsidR="009859B0" w:rsidRPr="0044416E">
        <w:rPr>
          <w:b/>
          <w:bCs/>
          <w:sz w:val="22"/>
          <w:szCs w:val="22"/>
        </w:rPr>
        <w:t xml:space="preserve"> </w:t>
      </w:r>
      <w:r w:rsidRPr="0044416E">
        <w:rPr>
          <w:b/>
          <w:bCs/>
          <w:sz w:val="22"/>
          <w:szCs w:val="22"/>
        </w:rPr>
        <w:t>THIRD COAST CENTER FOR AIDS RESEARCH</w:t>
      </w:r>
      <w:r w:rsidR="003021E3" w:rsidRPr="0044416E">
        <w:rPr>
          <w:b/>
          <w:bCs/>
          <w:sz w:val="22"/>
          <w:szCs w:val="22"/>
        </w:rPr>
        <w:t xml:space="preserve"> </w:t>
      </w:r>
      <w:r w:rsidRPr="0044416E">
        <w:rPr>
          <w:b/>
          <w:bCs/>
          <w:sz w:val="22"/>
          <w:szCs w:val="22"/>
        </w:rPr>
        <w:t xml:space="preserve">COMMUNITY DISSEMINATION </w:t>
      </w:r>
      <w:r w:rsidR="00B03559" w:rsidRPr="0044416E">
        <w:rPr>
          <w:b/>
          <w:bCs/>
          <w:sz w:val="22"/>
          <w:szCs w:val="22"/>
        </w:rPr>
        <w:t xml:space="preserve">AWARD </w:t>
      </w:r>
    </w:p>
    <w:p w14:paraId="274FFE91" w14:textId="7B86EE67" w:rsidR="00827E69" w:rsidRPr="0044416E" w:rsidRDefault="00827E69" w:rsidP="00E52C23">
      <w:pPr>
        <w:jc w:val="center"/>
        <w:rPr>
          <w:i/>
          <w:iCs/>
          <w:sz w:val="22"/>
          <w:szCs w:val="22"/>
        </w:rPr>
      </w:pPr>
      <w:r w:rsidRPr="0044416E">
        <w:rPr>
          <w:i/>
          <w:iCs/>
          <w:sz w:val="22"/>
          <w:szCs w:val="22"/>
        </w:rPr>
        <w:t xml:space="preserve">Grant to support </w:t>
      </w:r>
      <w:r w:rsidR="0044416E" w:rsidRPr="0044416E">
        <w:rPr>
          <w:sz w:val="22"/>
          <w:szCs w:val="22"/>
        </w:rPr>
        <w:t>“</w:t>
      </w:r>
      <w:r w:rsidRPr="0044416E">
        <w:rPr>
          <w:i/>
          <w:iCs/>
          <w:sz w:val="22"/>
          <w:szCs w:val="22"/>
        </w:rPr>
        <w:t>PrEP for All: An Interactive Community Workshop</w:t>
      </w:r>
      <w:r w:rsidR="0044416E" w:rsidRPr="0044416E">
        <w:rPr>
          <w:i/>
          <w:iCs/>
          <w:sz w:val="22"/>
          <w:szCs w:val="22"/>
        </w:rPr>
        <w:t>”</w:t>
      </w:r>
    </w:p>
    <w:p w14:paraId="63EA5E19" w14:textId="77777777" w:rsidR="001A441F" w:rsidRPr="0044416E" w:rsidRDefault="001A441F" w:rsidP="003D7D9F">
      <w:pPr>
        <w:rPr>
          <w:sz w:val="22"/>
          <w:szCs w:val="22"/>
        </w:rPr>
      </w:pPr>
    </w:p>
    <w:p w14:paraId="45DC9782" w14:textId="0D3EA067" w:rsidR="003D7D9F" w:rsidRPr="0044416E" w:rsidRDefault="000477DF" w:rsidP="003D7D9F">
      <w:pPr>
        <w:rPr>
          <w:sz w:val="22"/>
          <w:szCs w:val="22"/>
        </w:rPr>
      </w:pPr>
      <w:r w:rsidRPr="0044416E">
        <w:rPr>
          <w:sz w:val="22"/>
          <w:szCs w:val="22"/>
        </w:rPr>
        <w:t xml:space="preserve">CHICAGO, IL - </w:t>
      </w:r>
      <w:hyperlink r:id="rId5" w:history="1">
        <w:r w:rsidR="003D7D9F" w:rsidRPr="004B10AB">
          <w:rPr>
            <w:rStyle w:val="Hyperlink"/>
            <w:sz w:val="22"/>
            <w:szCs w:val="22"/>
          </w:rPr>
          <w:t>Vivent Health+TPAN</w:t>
        </w:r>
      </w:hyperlink>
      <w:r w:rsidR="003D7D9F" w:rsidRPr="0044416E">
        <w:rPr>
          <w:sz w:val="22"/>
          <w:szCs w:val="22"/>
        </w:rPr>
        <w:t xml:space="preserve">, a leading provider of HIV </w:t>
      </w:r>
      <w:r w:rsidR="00255943">
        <w:rPr>
          <w:sz w:val="22"/>
          <w:szCs w:val="22"/>
        </w:rPr>
        <w:t>services</w:t>
      </w:r>
      <w:r w:rsidR="00255943" w:rsidRPr="0044416E">
        <w:rPr>
          <w:sz w:val="22"/>
          <w:szCs w:val="22"/>
        </w:rPr>
        <w:t xml:space="preserve"> </w:t>
      </w:r>
      <w:r w:rsidR="003D7D9F" w:rsidRPr="0044416E">
        <w:rPr>
          <w:sz w:val="22"/>
          <w:szCs w:val="22"/>
        </w:rPr>
        <w:t xml:space="preserve">and prevention in Chicago, announced today it was </w:t>
      </w:r>
      <w:r w:rsidR="00255943">
        <w:rPr>
          <w:sz w:val="22"/>
          <w:szCs w:val="22"/>
        </w:rPr>
        <w:t>awarded</w:t>
      </w:r>
      <w:r w:rsidR="003D7D9F" w:rsidRPr="0044416E">
        <w:rPr>
          <w:sz w:val="22"/>
          <w:szCs w:val="22"/>
        </w:rPr>
        <w:t xml:space="preserve"> </w:t>
      </w:r>
      <w:r w:rsidR="00255943">
        <w:rPr>
          <w:sz w:val="22"/>
          <w:szCs w:val="22"/>
        </w:rPr>
        <w:t>a</w:t>
      </w:r>
      <w:r w:rsidR="00255943" w:rsidRPr="0044416E">
        <w:rPr>
          <w:sz w:val="22"/>
          <w:szCs w:val="22"/>
        </w:rPr>
        <w:t xml:space="preserve"> </w:t>
      </w:r>
      <w:r w:rsidR="007A7F98" w:rsidRPr="0044416E">
        <w:rPr>
          <w:sz w:val="22"/>
          <w:szCs w:val="22"/>
        </w:rPr>
        <w:t>Th</w:t>
      </w:r>
      <w:r w:rsidR="007C0D31" w:rsidRPr="0044416E">
        <w:rPr>
          <w:sz w:val="22"/>
          <w:szCs w:val="22"/>
        </w:rPr>
        <w:t>ird Coast Center for AIDS Research (</w:t>
      </w:r>
      <w:r w:rsidR="003D7D9F" w:rsidRPr="0044416E">
        <w:rPr>
          <w:sz w:val="22"/>
          <w:szCs w:val="22"/>
        </w:rPr>
        <w:t>TC CFAR</w:t>
      </w:r>
      <w:r w:rsidR="007C0D31" w:rsidRPr="0044416E">
        <w:rPr>
          <w:sz w:val="22"/>
          <w:szCs w:val="22"/>
        </w:rPr>
        <w:t>)</w:t>
      </w:r>
      <w:r w:rsidR="003D7D9F" w:rsidRPr="0044416E">
        <w:rPr>
          <w:sz w:val="22"/>
          <w:szCs w:val="22"/>
        </w:rPr>
        <w:t> </w:t>
      </w:r>
      <w:hyperlink r:id="rId6" w:tgtFrame="_blank" w:history="1">
        <w:r w:rsidR="003D7D9F" w:rsidRPr="0044416E">
          <w:rPr>
            <w:rStyle w:val="Hyperlink"/>
            <w:sz w:val="22"/>
            <w:szCs w:val="22"/>
          </w:rPr>
          <w:t>Community Dissemination Award</w:t>
        </w:r>
      </w:hyperlink>
      <w:r w:rsidR="00934472">
        <w:rPr>
          <w:rStyle w:val="Hyperlink"/>
          <w:sz w:val="22"/>
          <w:szCs w:val="22"/>
        </w:rPr>
        <w:t xml:space="preserve"> </w:t>
      </w:r>
      <w:r w:rsidR="00255943">
        <w:rPr>
          <w:sz w:val="22"/>
          <w:szCs w:val="22"/>
        </w:rPr>
        <w:t>(2024/2025)</w:t>
      </w:r>
      <w:r w:rsidR="003D7D9F" w:rsidRPr="0044416E">
        <w:rPr>
          <w:sz w:val="22"/>
          <w:szCs w:val="22"/>
        </w:rPr>
        <w:t>. These awards support dissemination of HIV research and engagement between community members and investigators. </w:t>
      </w:r>
    </w:p>
    <w:p w14:paraId="2C141DEF" w14:textId="77777777" w:rsidR="003D7D9F" w:rsidRPr="0044416E" w:rsidRDefault="003D7D9F" w:rsidP="003D7D9F">
      <w:pPr>
        <w:rPr>
          <w:sz w:val="22"/>
          <w:szCs w:val="22"/>
        </w:rPr>
      </w:pPr>
    </w:p>
    <w:p w14:paraId="6EE0740F" w14:textId="40BBA41C" w:rsidR="00D70A31" w:rsidRPr="0044416E" w:rsidRDefault="00824CE4" w:rsidP="00824CE4">
      <w:pPr>
        <w:rPr>
          <w:sz w:val="22"/>
          <w:szCs w:val="22"/>
        </w:rPr>
      </w:pPr>
      <w:r w:rsidRPr="0044416E">
        <w:rPr>
          <w:sz w:val="22"/>
          <w:szCs w:val="22"/>
        </w:rPr>
        <w:t>The award will support Vivent Health+TPAN</w:t>
      </w:r>
      <w:r w:rsidR="00E01395" w:rsidRPr="0044416E">
        <w:rPr>
          <w:sz w:val="22"/>
          <w:szCs w:val="22"/>
        </w:rPr>
        <w:t xml:space="preserve">’s </w:t>
      </w:r>
      <w:r w:rsidRPr="0044416E">
        <w:rPr>
          <w:sz w:val="22"/>
          <w:szCs w:val="22"/>
        </w:rPr>
        <w:t>community workshop focused on PrEP (Pre-</w:t>
      </w:r>
      <w:r w:rsidR="00255943">
        <w:rPr>
          <w:sz w:val="22"/>
          <w:szCs w:val="22"/>
        </w:rPr>
        <w:t>E</w:t>
      </w:r>
      <w:r w:rsidR="00255943" w:rsidRPr="0044416E">
        <w:rPr>
          <w:sz w:val="22"/>
          <w:szCs w:val="22"/>
        </w:rPr>
        <w:t xml:space="preserve">xposure </w:t>
      </w:r>
      <w:r w:rsidRPr="0044416E">
        <w:rPr>
          <w:sz w:val="22"/>
          <w:szCs w:val="22"/>
        </w:rPr>
        <w:t xml:space="preserve">Prophylaxis), </w:t>
      </w:r>
      <w:r w:rsidRPr="0044416E">
        <w:rPr>
          <w:i/>
          <w:iCs/>
          <w:sz w:val="22"/>
          <w:szCs w:val="22"/>
        </w:rPr>
        <w:t>PrEP for All: An Interactive Community Workshop</w:t>
      </w:r>
      <w:r w:rsidR="00037823" w:rsidRPr="0044416E">
        <w:rPr>
          <w:i/>
          <w:iCs/>
          <w:sz w:val="22"/>
          <w:szCs w:val="22"/>
        </w:rPr>
        <w:t>,</w:t>
      </w:r>
      <w:r w:rsidR="00D70A31" w:rsidRPr="0044416E">
        <w:rPr>
          <w:sz w:val="22"/>
          <w:szCs w:val="22"/>
        </w:rPr>
        <w:t xml:space="preserve"> scheduled </w:t>
      </w:r>
      <w:r w:rsidR="00255943">
        <w:rPr>
          <w:sz w:val="22"/>
          <w:szCs w:val="22"/>
        </w:rPr>
        <w:t>for</w:t>
      </w:r>
      <w:r w:rsidR="00D70A31" w:rsidRPr="0044416E">
        <w:rPr>
          <w:sz w:val="22"/>
          <w:szCs w:val="22"/>
        </w:rPr>
        <w:t xml:space="preserve"> Spring 2025.</w:t>
      </w:r>
    </w:p>
    <w:p w14:paraId="320A3D4B" w14:textId="77777777" w:rsidR="00C07D26" w:rsidRPr="0044416E" w:rsidRDefault="00C07D26" w:rsidP="00824CE4">
      <w:pPr>
        <w:rPr>
          <w:i/>
          <w:iCs/>
          <w:sz w:val="22"/>
          <w:szCs w:val="22"/>
        </w:rPr>
      </w:pPr>
    </w:p>
    <w:p w14:paraId="02A7C426" w14:textId="30995750" w:rsidR="008D1C3F" w:rsidRPr="0044416E" w:rsidRDefault="008D1C3F" w:rsidP="008D1C3F">
      <w:pPr>
        <w:rPr>
          <w:sz w:val="22"/>
          <w:szCs w:val="22"/>
        </w:rPr>
      </w:pPr>
      <w:r w:rsidRPr="0044416E">
        <w:rPr>
          <w:sz w:val="22"/>
          <w:szCs w:val="22"/>
        </w:rPr>
        <w:t xml:space="preserve">“Vivent Health+TPAN shares TC CFAR’s commitment to ending the HIV epidemic and is proud to help foster engagement between community members, community organizations, and faculty through our </w:t>
      </w:r>
      <w:r w:rsidRPr="0044416E">
        <w:rPr>
          <w:i/>
          <w:iCs/>
          <w:sz w:val="22"/>
          <w:szCs w:val="22"/>
        </w:rPr>
        <w:t>PrEP for All</w:t>
      </w:r>
      <w:r w:rsidRPr="0044416E">
        <w:rPr>
          <w:sz w:val="22"/>
          <w:szCs w:val="22"/>
        </w:rPr>
        <w:t xml:space="preserve"> workshop,” said Brandon Hill, PhD, President and CEO of Vivent Health. “By building connections between community and healthcare professionals, the workshop will create a supportive environment that empowers individuals to take control of their sexual health and make informed decisions about HIV prevention strategies.”</w:t>
      </w:r>
    </w:p>
    <w:p w14:paraId="1AD1EE18" w14:textId="77777777" w:rsidR="008D1C3F" w:rsidRPr="0044416E" w:rsidRDefault="008D1C3F" w:rsidP="00824CE4">
      <w:pPr>
        <w:rPr>
          <w:i/>
          <w:iCs/>
          <w:sz w:val="22"/>
          <w:szCs w:val="22"/>
        </w:rPr>
      </w:pPr>
    </w:p>
    <w:p w14:paraId="37383C85" w14:textId="05B76ADD" w:rsidR="00A05BE8" w:rsidRPr="0044416E" w:rsidRDefault="00824CE4" w:rsidP="00824CE4">
      <w:pPr>
        <w:rPr>
          <w:sz w:val="22"/>
          <w:szCs w:val="22"/>
        </w:rPr>
      </w:pPr>
      <w:r w:rsidRPr="0044416E">
        <w:rPr>
          <w:i/>
          <w:iCs/>
          <w:sz w:val="22"/>
          <w:szCs w:val="22"/>
        </w:rPr>
        <w:t>PrEP for All</w:t>
      </w:r>
      <w:r w:rsidRPr="0044416E">
        <w:rPr>
          <w:sz w:val="22"/>
          <w:szCs w:val="22"/>
        </w:rPr>
        <w:t xml:space="preserve"> will educate attendees about the various PrEP options currently available, how to access these medications, and identify the individuals who may benefit most from using PrEP as a preventive measure against HIV. In addition to expanding awareness and knowledge within the community, the workshop </w:t>
      </w:r>
      <w:r w:rsidR="00255943">
        <w:rPr>
          <w:sz w:val="22"/>
          <w:szCs w:val="22"/>
        </w:rPr>
        <w:t>aims</w:t>
      </w:r>
      <w:r w:rsidR="00255943" w:rsidRPr="0044416E">
        <w:rPr>
          <w:sz w:val="22"/>
          <w:szCs w:val="22"/>
        </w:rPr>
        <w:t xml:space="preserve"> </w:t>
      </w:r>
      <w:r w:rsidRPr="0044416E">
        <w:rPr>
          <w:sz w:val="22"/>
          <w:szCs w:val="22"/>
        </w:rPr>
        <w:t>to foster engagement with local healthcare providers, ensuring participants have the necessary resources to begin or maintain PrEP care. Furthermore, the workshop will address potential barriers to access, such as cost, insurance coverage, and stigma, while emphasizing the importance of regular healthcare follow-up and testing.</w:t>
      </w:r>
    </w:p>
    <w:p w14:paraId="717818C4" w14:textId="77777777" w:rsidR="00824CE4" w:rsidRPr="0044416E" w:rsidRDefault="00824CE4" w:rsidP="003D7D9F">
      <w:pPr>
        <w:rPr>
          <w:sz w:val="22"/>
          <w:szCs w:val="22"/>
        </w:rPr>
      </w:pPr>
    </w:p>
    <w:p w14:paraId="3AAD22F4" w14:textId="77777777" w:rsidR="003D7D9F" w:rsidRDefault="003D7D9F" w:rsidP="003D7D9F">
      <w:pPr>
        <w:rPr>
          <w:sz w:val="22"/>
          <w:szCs w:val="22"/>
        </w:rPr>
      </w:pPr>
      <w:r w:rsidRPr="003D7D9F">
        <w:rPr>
          <w:sz w:val="22"/>
          <w:szCs w:val="22"/>
        </w:rPr>
        <w:t>“Ever since the TC CFAR was established, the center has made it a priority to help community organizations promote their HIV work with these awards,” said Kathryn Macapagal, PhD</w:t>
      </w:r>
      <w:r w:rsidRPr="003D7D9F">
        <w:rPr>
          <w:b/>
          <w:bCs/>
          <w:sz w:val="22"/>
          <w:szCs w:val="22"/>
        </w:rPr>
        <w:t>, </w:t>
      </w:r>
      <w:r w:rsidRPr="003D7D9F">
        <w:rPr>
          <w:sz w:val="22"/>
          <w:szCs w:val="22"/>
        </w:rPr>
        <w:t>co-director of the TC CFAR’s </w:t>
      </w:r>
      <w:hyperlink r:id="rId7" w:history="1">
        <w:r w:rsidRPr="003D7D9F">
          <w:rPr>
            <w:rStyle w:val="Hyperlink"/>
            <w:sz w:val="22"/>
            <w:szCs w:val="22"/>
          </w:rPr>
          <w:t>Developmental Core</w:t>
        </w:r>
      </w:hyperlink>
      <w:r w:rsidRPr="003D7D9F">
        <w:rPr>
          <w:sz w:val="22"/>
          <w:szCs w:val="22"/>
        </w:rPr>
        <w:t>. “The CDA awardees proposed creative mechanisms to disseminate HIV research and foster engagement between their community organizations and faculty, and with members of the community. We look forward to supporting their events taking place over the next few months.” </w:t>
      </w:r>
    </w:p>
    <w:p w14:paraId="4FC1372C" w14:textId="77777777" w:rsidR="009F3A6D" w:rsidRDefault="009F3A6D" w:rsidP="003D7D9F">
      <w:pPr>
        <w:rPr>
          <w:sz w:val="22"/>
          <w:szCs w:val="22"/>
        </w:rPr>
      </w:pPr>
    </w:p>
    <w:p w14:paraId="3D74D0E3" w14:textId="479C7228" w:rsidR="008D40BE" w:rsidRPr="009F3A6D" w:rsidRDefault="009F3A6D">
      <w:pPr>
        <w:rPr>
          <w:i/>
          <w:iCs/>
          <w:sz w:val="22"/>
          <w:szCs w:val="22"/>
        </w:rPr>
      </w:pPr>
      <w:r>
        <w:rPr>
          <w:i/>
          <w:iCs/>
          <w:sz w:val="22"/>
          <w:szCs w:val="22"/>
        </w:rPr>
        <w:t>Funding was provided by the Third Coast Center for AIDS Research in Chicago – an NIH-supported collaboration between Northwestern University, University of Chicago, and Community Partners.</w:t>
      </w:r>
    </w:p>
    <w:p w14:paraId="04F27A57" w14:textId="77777777" w:rsidR="00B65348" w:rsidRPr="0044416E" w:rsidRDefault="00B65348" w:rsidP="00B65348">
      <w:pPr>
        <w:pStyle w:val="NoSpacing"/>
        <w:rPr>
          <w:rStyle w:val="Emphasis"/>
          <w:color w:val="000000"/>
          <w:sz w:val="22"/>
          <w:szCs w:val="22"/>
        </w:rPr>
      </w:pPr>
    </w:p>
    <w:p w14:paraId="654C0DBB" w14:textId="77777777" w:rsidR="00B65348" w:rsidRPr="0044416E" w:rsidRDefault="00B65348" w:rsidP="00B65348">
      <w:pPr>
        <w:rPr>
          <w:rFonts w:eastAsia="Georgia" w:cs="Georgia"/>
          <w:b/>
          <w:sz w:val="22"/>
          <w:szCs w:val="22"/>
        </w:rPr>
      </w:pPr>
      <w:r w:rsidRPr="0044416E">
        <w:rPr>
          <w:rFonts w:eastAsia="Georgia" w:cs="Georgia"/>
          <w:b/>
          <w:sz w:val="22"/>
          <w:szCs w:val="22"/>
        </w:rPr>
        <w:t>About Vivent Health</w:t>
      </w:r>
    </w:p>
    <w:p w14:paraId="31B7ACA1" w14:textId="77777777" w:rsidR="00B65348" w:rsidRPr="0044416E" w:rsidRDefault="00B65348" w:rsidP="00B65348">
      <w:pPr>
        <w:rPr>
          <w:rFonts w:eastAsia="Georgia" w:cs="Georgia"/>
          <w:b/>
          <w:sz w:val="22"/>
          <w:szCs w:val="22"/>
        </w:rPr>
      </w:pPr>
    </w:p>
    <w:p w14:paraId="6E667354" w14:textId="77777777" w:rsidR="00B65348" w:rsidRPr="0044416E" w:rsidRDefault="00B65348" w:rsidP="00B65348">
      <w:pPr>
        <w:rPr>
          <w:rFonts w:eastAsia="Georgia" w:cs="Georgia"/>
          <w:bCs/>
          <w:sz w:val="22"/>
          <w:szCs w:val="22"/>
        </w:rPr>
      </w:pPr>
      <w:r w:rsidRPr="005E2935">
        <w:rPr>
          <w:rFonts w:eastAsia="Georgia" w:cs="Georgia"/>
          <w:bCs/>
          <w:sz w:val="22"/>
          <w:szCs w:val="22"/>
        </w:rPr>
        <w:t xml:space="preserve">Rooted in our legacy organizations’ commitments to serve those impacted by HIV, Vivent Health strives to achieve health justice for people living with HIV by providing lifesaving healthcare and critical social services tailored to each person we serve. We have advanced equitable health outcomes by supporting our local communities through awareness, education, fundraising, prevention, and advocating for policies that ensure everyone impacted by HIV can live their healthiest life. </w:t>
      </w:r>
    </w:p>
    <w:p w14:paraId="6B634B5C" w14:textId="77777777" w:rsidR="00B65348" w:rsidRPr="0044416E" w:rsidRDefault="00B65348" w:rsidP="00B65348">
      <w:pPr>
        <w:rPr>
          <w:rFonts w:eastAsia="Georgia" w:cs="Georgia"/>
          <w:bCs/>
          <w:sz w:val="22"/>
          <w:szCs w:val="22"/>
        </w:rPr>
      </w:pPr>
    </w:p>
    <w:p w14:paraId="5B4EED33" w14:textId="77777777" w:rsidR="00B65348" w:rsidRPr="005E2935" w:rsidRDefault="00B65348" w:rsidP="00B65348">
      <w:pPr>
        <w:rPr>
          <w:rFonts w:eastAsia="Georgia" w:cs="Georgia"/>
          <w:bCs/>
          <w:sz w:val="22"/>
          <w:szCs w:val="22"/>
        </w:rPr>
      </w:pPr>
      <w:r w:rsidRPr="005E2935">
        <w:rPr>
          <w:rFonts w:eastAsia="Georgia" w:cs="Georgia"/>
          <w:bCs/>
          <w:sz w:val="22"/>
          <w:szCs w:val="22"/>
        </w:rPr>
        <w:t xml:space="preserve">Vivent Health currently serves nearly 17,000 people living with and vulnerable to HIV and sexually transmitted infections, as well as countless people at risk for opioid overdose. Vivent Health currently has clinics </w:t>
      </w:r>
      <w:r w:rsidRPr="0044416E">
        <w:rPr>
          <w:rFonts w:eastAsia="Georgia" w:cs="Georgia"/>
          <w:bCs/>
          <w:sz w:val="22"/>
          <w:szCs w:val="22"/>
        </w:rPr>
        <w:t xml:space="preserve">Kansas City and </w:t>
      </w:r>
      <w:r w:rsidRPr="005E2935">
        <w:rPr>
          <w:rFonts w:eastAsia="Georgia" w:cs="Georgia"/>
          <w:bCs/>
          <w:sz w:val="22"/>
          <w:szCs w:val="22"/>
        </w:rPr>
        <w:t>St. Louis</w:t>
      </w:r>
      <w:r w:rsidRPr="0044416E">
        <w:rPr>
          <w:rFonts w:eastAsia="Georgia" w:cs="Georgia"/>
          <w:bCs/>
          <w:sz w:val="22"/>
          <w:szCs w:val="22"/>
        </w:rPr>
        <w:t xml:space="preserve">, </w:t>
      </w:r>
      <w:r w:rsidRPr="005E2935">
        <w:rPr>
          <w:rFonts w:eastAsia="Georgia" w:cs="Georgia"/>
          <w:bCs/>
          <w:sz w:val="22"/>
          <w:szCs w:val="22"/>
        </w:rPr>
        <w:t xml:space="preserve">MO; </w:t>
      </w:r>
      <w:r w:rsidRPr="0044416E">
        <w:rPr>
          <w:rFonts w:eastAsia="Georgia" w:cs="Georgia"/>
          <w:bCs/>
          <w:sz w:val="22"/>
          <w:szCs w:val="22"/>
        </w:rPr>
        <w:t xml:space="preserve">Chicago, IL; </w:t>
      </w:r>
      <w:r w:rsidRPr="005E2935">
        <w:rPr>
          <w:rFonts w:eastAsia="Georgia" w:cs="Georgia"/>
          <w:bCs/>
          <w:sz w:val="22"/>
          <w:szCs w:val="22"/>
        </w:rPr>
        <w:t>Denver, CO; Detroit</w:t>
      </w:r>
      <w:r w:rsidRPr="0044416E">
        <w:rPr>
          <w:rFonts w:eastAsia="Georgia" w:cs="Georgia"/>
          <w:bCs/>
          <w:sz w:val="22"/>
          <w:szCs w:val="22"/>
        </w:rPr>
        <w:t xml:space="preserve"> and Ypsilanti </w:t>
      </w:r>
      <w:r w:rsidRPr="005E2935">
        <w:rPr>
          <w:rFonts w:eastAsia="Georgia" w:cs="Georgia"/>
          <w:bCs/>
          <w:sz w:val="22"/>
          <w:szCs w:val="22"/>
        </w:rPr>
        <w:t>MI; Austin, TX</w:t>
      </w:r>
      <w:r w:rsidRPr="0044416E">
        <w:rPr>
          <w:rFonts w:eastAsia="Georgia" w:cs="Georgia"/>
          <w:bCs/>
          <w:sz w:val="22"/>
          <w:szCs w:val="22"/>
        </w:rPr>
        <w:t xml:space="preserve">; and </w:t>
      </w:r>
      <w:r w:rsidRPr="005E2935">
        <w:rPr>
          <w:rFonts w:eastAsia="Georgia" w:cs="Georgia"/>
          <w:bCs/>
          <w:sz w:val="22"/>
          <w:szCs w:val="22"/>
        </w:rPr>
        <w:t>10 cities throughout Wisconsin including Milwaukee</w:t>
      </w:r>
      <w:r w:rsidRPr="0044416E">
        <w:rPr>
          <w:rFonts w:eastAsia="Georgia" w:cs="Georgia"/>
          <w:bCs/>
          <w:sz w:val="22"/>
          <w:szCs w:val="22"/>
        </w:rPr>
        <w:t xml:space="preserve">. </w:t>
      </w:r>
      <w:r w:rsidRPr="005E2935">
        <w:rPr>
          <w:rFonts w:eastAsia="Georgia" w:cs="Georgia"/>
          <w:bCs/>
          <w:sz w:val="22"/>
          <w:szCs w:val="22"/>
        </w:rPr>
        <w:t>Learn more at </w:t>
      </w:r>
      <w:hyperlink r:id="rId8" w:history="1">
        <w:r w:rsidRPr="005E2935">
          <w:rPr>
            <w:rStyle w:val="Hyperlink"/>
            <w:rFonts w:eastAsia="Georgia" w:cs="Georgia"/>
            <w:bCs/>
            <w:sz w:val="22"/>
            <w:szCs w:val="22"/>
          </w:rPr>
          <w:t>ViventHealth.org</w:t>
        </w:r>
      </w:hyperlink>
      <w:r w:rsidRPr="005E2935">
        <w:rPr>
          <w:rFonts w:eastAsia="Georgia" w:cs="Georgia"/>
          <w:bCs/>
          <w:sz w:val="22"/>
          <w:szCs w:val="22"/>
        </w:rPr>
        <w:t>.</w:t>
      </w:r>
    </w:p>
    <w:p w14:paraId="59D8A60F" w14:textId="17AFDE25" w:rsidR="003D7D9F" w:rsidRDefault="003D7D9F"/>
    <w:sectPr w:rsidR="003D7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9F"/>
    <w:rsid w:val="00002868"/>
    <w:rsid w:val="00014477"/>
    <w:rsid w:val="00037823"/>
    <w:rsid w:val="000477DF"/>
    <w:rsid w:val="000B5C5F"/>
    <w:rsid w:val="001161B6"/>
    <w:rsid w:val="001A441F"/>
    <w:rsid w:val="00255943"/>
    <w:rsid w:val="002941E6"/>
    <w:rsid w:val="002E2785"/>
    <w:rsid w:val="003021E3"/>
    <w:rsid w:val="003C1E31"/>
    <w:rsid w:val="003D7D9F"/>
    <w:rsid w:val="0044416E"/>
    <w:rsid w:val="004B10AB"/>
    <w:rsid w:val="005950E3"/>
    <w:rsid w:val="005D0442"/>
    <w:rsid w:val="005D35FE"/>
    <w:rsid w:val="005D3EC4"/>
    <w:rsid w:val="00611D50"/>
    <w:rsid w:val="006C69D4"/>
    <w:rsid w:val="00767C2E"/>
    <w:rsid w:val="00787A0A"/>
    <w:rsid w:val="007A7F98"/>
    <w:rsid w:val="007C07EC"/>
    <w:rsid w:val="007C0D31"/>
    <w:rsid w:val="00824CE4"/>
    <w:rsid w:val="00827E69"/>
    <w:rsid w:val="008A4272"/>
    <w:rsid w:val="008D1C3F"/>
    <w:rsid w:val="008D40BE"/>
    <w:rsid w:val="00934472"/>
    <w:rsid w:val="009859B0"/>
    <w:rsid w:val="009F2891"/>
    <w:rsid w:val="009F3A6D"/>
    <w:rsid w:val="00A0028A"/>
    <w:rsid w:val="00A05BE8"/>
    <w:rsid w:val="00A94B20"/>
    <w:rsid w:val="00AC50E0"/>
    <w:rsid w:val="00B03559"/>
    <w:rsid w:val="00B46050"/>
    <w:rsid w:val="00B65348"/>
    <w:rsid w:val="00BA1E79"/>
    <w:rsid w:val="00BF340E"/>
    <w:rsid w:val="00C07D26"/>
    <w:rsid w:val="00C60C14"/>
    <w:rsid w:val="00CA6E64"/>
    <w:rsid w:val="00D70A31"/>
    <w:rsid w:val="00D70E0E"/>
    <w:rsid w:val="00E01395"/>
    <w:rsid w:val="00E52C23"/>
    <w:rsid w:val="00EC0E05"/>
    <w:rsid w:val="00F24C6E"/>
    <w:rsid w:val="00F35518"/>
    <w:rsid w:val="00F9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A22F"/>
  <w15:chartTrackingRefBased/>
  <w15:docId w15:val="{B64B7BB0-240B-6F44-9A93-40F45FF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D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D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D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D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D9F"/>
    <w:rPr>
      <w:rFonts w:eastAsiaTheme="majorEastAsia" w:cstheme="majorBidi"/>
      <w:color w:val="272727" w:themeColor="text1" w:themeTint="D8"/>
    </w:rPr>
  </w:style>
  <w:style w:type="paragraph" w:styleId="Title">
    <w:name w:val="Title"/>
    <w:basedOn w:val="Normal"/>
    <w:next w:val="Normal"/>
    <w:link w:val="TitleChar"/>
    <w:uiPriority w:val="10"/>
    <w:qFormat/>
    <w:rsid w:val="003D7D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D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D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7D9F"/>
    <w:rPr>
      <w:i/>
      <w:iCs/>
      <w:color w:val="404040" w:themeColor="text1" w:themeTint="BF"/>
    </w:rPr>
  </w:style>
  <w:style w:type="paragraph" w:styleId="ListParagraph">
    <w:name w:val="List Paragraph"/>
    <w:basedOn w:val="Normal"/>
    <w:uiPriority w:val="34"/>
    <w:qFormat/>
    <w:rsid w:val="003D7D9F"/>
    <w:pPr>
      <w:ind w:left="720"/>
      <w:contextualSpacing/>
    </w:pPr>
  </w:style>
  <w:style w:type="character" w:styleId="IntenseEmphasis">
    <w:name w:val="Intense Emphasis"/>
    <w:basedOn w:val="DefaultParagraphFont"/>
    <w:uiPriority w:val="21"/>
    <w:qFormat/>
    <w:rsid w:val="003D7D9F"/>
    <w:rPr>
      <w:i/>
      <w:iCs/>
      <w:color w:val="0F4761" w:themeColor="accent1" w:themeShade="BF"/>
    </w:rPr>
  </w:style>
  <w:style w:type="paragraph" w:styleId="IntenseQuote">
    <w:name w:val="Intense Quote"/>
    <w:basedOn w:val="Normal"/>
    <w:next w:val="Normal"/>
    <w:link w:val="IntenseQuoteChar"/>
    <w:uiPriority w:val="30"/>
    <w:qFormat/>
    <w:rsid w:val="003D7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D9F"/>
    <w:rPr>
      <w:i/>
      <w:iCs/>
      <w:color w:val="0F4761" w:themeColor="accent1" w:themeShade="BF"/>
    </w:rPr>
  </w:style>
  <w:style w:type="character" w:styleId="IntenseReference">
    <w:name w:val="Intense Reference"/>
    <w:basedOn w:val="DefaultParagraphFont"/>
    <w:uiPriority w:val="32"/>
    <w:qFormat/>
    <w:rsid w:val="003D7D9F"/>
    <w:rPr>
      <w:b/>
      <w:bCs/>
      <w:smallCaps/>
      <w:color w:val="0F4761" w:themeColor="accent1" w:themeShade="BF"/>
      <w:spacing w:val="5"/>
    </w:rPr>
  </w:style>
  <w:style w:type="paragraph" w:styleId="NormalWeb">
    <w:name w:val="Normal (Web)"/>
    <w:basedOn w:val="Normal"/>
    <w:uiPriority w:val="99"/>
    <w:semiHidden/>
    <w:unhideWhenUsed/>
    <w:rsid w:val="003D7D9F"/>
    <w:rPr>
      <w:rFonts w:ascii="Times New Roman" w:hAnsi="Times New Roman" w:cs="Times New Roman"/>
    </w:rPr>
  </w:style>
  <w:style w:type="character" w:styleId="Hyperlink">
    <w:name w:val="Hyperlink"/>
    <w:basedOn w:val="DefaultParagraphFont"/>
    <w:uiPriority w:val="99"/>
    <w:unhideWhenUsed/>
    <w:rsid w:val="003D7D9F"/>
    <w:rPr>
      <w:color w:val="467886" w:themeColor="hyperlink"/>
      <w:u w:val="single"/>
    </w:rPr>
  </w:style>
  <w:style w:type="character" w:styleId="UnresolvedMention">
    <w:name w:val="Unresolved Mention"/>
    <w:basedOn w:val="DefaultParagraphFont"/>
    <w:uiPriority w:val="99"/>
    <w:semiHidden/>
    <w:unhideWhenUsed/>
    <w:rsid w:val="003D7D9F"/>
    <w:rPr>
      <w:color w:val="605E5C"/>
      <w:shd w:val="clear" w:color="auto" w:fill="E1DFDD"/>
    </w:rPr>
  </w:style>
  <w:style w:type="character" w:styleId="FollowedHyperlink">
    <w:name w:val="FollowedHyperlink"/>
    <w:basedOn w:val="DefaultParagraphFont"/>
    <w:uiPriority w:val="99"/>
    <w:semiHidden/>
    <w:unhideWhenUsed/>
    <w:rsid w:val="007A7F98"/>
    <w:rPr>
      <w:color w:val="96607D" w:themeColor="followedHyperlink"/>
      <w:u w:val="single"/>
    </w:rPr>
  </w:style>
  <w:style w:type="character" w:styleId="Emphasis">
    <w:name w:val="Emphasis"/>
    <w:basedOn w:val="DefaultParagraphFont"/>
    <w:uiPriority w:val="20"/>
    <w:qFormat/>
    <w:rsid w:val="00B65348"/>
    <w:rPr>
      <w:i/>
      <w:iCs/>
    </w:rPr>
  </w:style>
  <w:style w:type="paragraph" w:styleId="NoSpacing">
    <w:name w:val="No Spacing"/>
    <w:uiPriority w:val="1"/>
    <w:qFormat/>
    <w:rsid w:val="00B65348"/>
  </w:style>
  <w:style w:type="paragraph" w:styleId="Revision">
    <w:name w:val="Revision"/>
    <w:hidden/>
    <w:uiPriority w:val="99"/>
    <w:semiHidden/>
    <w:rsid w:val="0025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7772">
      <w:bodyDiv w:val="1"/>
      <w:marLeft w:val="0"/>
      <w:marRight w:val="0"/>
      <w:marTop w:val="0"/>
      <w:marBottom w:val="0"/>
      <w:divBdr>
        <w:top w:val="none" w:sz="0" w:space="0" w:color="auto"/>
        <w:left w:val="none" w:sz="0" w:space="0" w:color="auto"/>
        <w:bottom w:val="none" w:sz="0" w:space="0" w:color="auto"/>
        <w:right w:val="none" w:sz="0" w:space="0" w:color="auto"/>
      </w:divBdr>
    </w:div>
    <w:div w:id="8819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enthealth.org/" TargetMode="External"/><Relationship Id="rId3" Type="http://schemas.openxmlformats.org/officeDocument/2006/relationships/webSettings" Target="webSettings.xml"/><Relationship Id="rId7" Type="http://schemas.openxmlformats.org/officeDocument/2006/relationships/hyperlink" Target="https://www.thirdcoastcfar.org/developmental-c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rdcoastcfar.org/community-mini-awards/" TargetMode="External"/><Relationship Id="rId5" Type="http://schemas.openxmlformats.org/officeDocument/2006/relationships/hyperlink" Target="http://tpan.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Cooper</dc:creator>
  <cp:keywords/>
  <dc:description/>
  <cp:lastModifiedBy>Lizzie Roehrs</cp:lastModifiedBy>
  <cp:revision>2</cp:revision>
  <dcterms:created xsi:type="dcterms:W3CDTF">2025-01-28T16:25:00Z</dcterms:created>
  <dcterms:modified xsi:type="dcterms:W3CDTF">2025-01-28T16:25:00Z</dcterms:modified>
</cp:coreProperties>
</file>